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7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DECLARAÇÃO DE APORTE DE CONTRAPARTIDA - ICT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[Nome da Instituição], na qualidade de ICT Proponente do projeto intitulado “[Título do Projeto]” submetido ao Edital SICT 02/2022, inscrita no CNPJ sob o nº [CNPJ], por meio do seu representante legal, declara para os devidos fins a existência de previsão orçamentária para fazer frente à contrapartida comprometida por esta Instituição e por seus parceiros, prevista para a execução do referido projeto, no valor de [R$ 0,00 - valor em reais por extenso]. Tal valor corresponde, conforme o presente edital, à quantia que compõe o percentual mínimo de contrapartida sobre o valor solicitado à Secretaria de Inovação, Ciência e Tecnologia.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Por ser expressão da verdade, firmo a presente. </w:t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240" w:line="276" w:lineRule="auto"/>
        <w:jc w:val="righ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[Local], [Dia] de [Mês] de 2022.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Nome e Assinatura do Representante Legal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-785490</wp:posOffset>
          </wp:positionV>
          <wp:extent cx="1696085" cy="584835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fNEV4ZDZlQeWyz11Dx3MV4lcA==">AMUW2mUwMVys9x3yDZb5eKaNVsvO0Cz9keu9jD/4R6vDs8zaOvPQAqtarHmtIKHuQbWHHeavB5qkUCB6Rc65kvh9NO4ffS2xhMHnRn8Mh7LOHhvlLKl4TCY=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Alexandre Muller</dc:creator>
</cp:coreProperties>
</file>